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1B0CB181" w14:textId="77777777" w:rsidR="00AC0B14" w:rsidRDefault="00164600" w:rsidP="00115404">
      <w:pPr>
        <w:pStyle w:val="Heading1"/>
        <w:jc w:val="both"/>
      </w:pPr>
      <w:r>
        <w:rPr>
          <w:noProof/>
        </w:rPr>
        <mc:AlternateContent>
          <mc:Choice Requires="wps">
            <w:drawing>
              <wp:anchor distT="0" distB="0" distL="114300" distR="114300" simplePos="0" relativeHeight="251658240" behindDoc="0" locked="0" layoutInCell="1" allowOverlap="1" wp14:anchorId="2068E785" wp14:editId="7386A4C4">
                <wp:simplePos x="0" y="0"/>
                <wp:positionH relativeFrom="column">
                  <wp:posOffset>687705</wp:posOffset>
                </wp:positionH>
                <wp:positionV relativeFrom="paragraph">
                  <wp:posOffset>19050</wp:posOffset>
                </wp:positionV>
                <wp:extent cx="5029200" cy="381000"/>
                <wp:effectExtent l="11430"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D285D3D"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E785"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3D285D3D"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1025F01" w14:textId="77777777" w:rsidR="00AC0B14" w:rsidRDefault="00AC0B14" w:rsidP="00C03E56">
      <w:pPr>
        <w:pStyle w:val="Heading1"/>
      </w:pPr>
    </w:p>
    <w:p w14:paraId="63038B98" w14:textId="77777777" w:rsidR="00AC0B14" w:rsidRDefault="00AC0B14" w:rsidP="00C03E56">
      <w:pPr>
        <w:pStyle w:val="Heading1"/>
      </w:pPr>
    </w:p>
    <w:p w14:paraId="745567A5" w14:textId="5A7E5CBB" w:rsidR="007448F8" w:rsidRDefault="00C03E56" w:rsidP="00C03E56">
      <w:pPr>
        <w:pStyle w:val="Heading1"/>
        <w:rPr>
          <w:szCs w:val="18"/>
        </w:rPr>
      </w:pPr>
      <w:r w:rsidRPr="00B85FE8">
        <w:t xml:space="preserve">RFP NUMBER </w:t>
      </w:r>
      <w:r w:rsidR="00180F0F">
        <w:t>5805 Z1</w:t>
      </w:r>
      <w:r w:rsidR="00AC0B14">
        <w:t xml:space="preserve">, </w:t>
      </w:r>
      <w:r w:rsidR="007448F8">
        <w:rPr>
          <w:szCs w:val="18"/>
        </w:rPr>
        <w:t>S</w:t>
      </w:r>
      <w:r w:rsidR="007448F8" w:rsidRPr="002316E7">
        <w:rPr>
          <w:szCs w:val="18"/>
        </w:rPr>
        <w:t xml:space="preserve">tatewide </w:t>
      </w:r>
      <w:r w:rsidR="007448F8">
        <w:rPr>
          <w:szCs w:val="18"/>
        </w:rPr>
        <w:t>D</w:t>
      </w:r>
      <w:r w:rsidR="007448F8" w:rsidRPr="002316E7">
        <w:rPr>
          <w:szCs w:val="18"/>
        </w:rPr>
        <w:t xml:space="preserve">rug </w:t>
      </w:r>
      <w:r w:rsidR="007448F8">
        <w:rPr>
          <w:szCs w:val="18"/>
        </w:rPr>
        <w:t>D</w:t>
      </w:r>
      <w:r w:rsidR="007448F8" w:rsidRPr="002316E7">
        <w:rPr>
          <w:szCs w:val="18"/>
        </w:rPr>
        <w:t xml:space="preserve">isposal </w:t>
      </w:r>
      <w:r w:rsidR="007448F8">
        <w:rPr>
          <w:szCs w:val="18"/>
        </w:rPr>
        <w:t>P</w:t>
      </w:r>
      <w:r w:rsidR="007448F8" w:rsidRPr="002316E7">
        <w:rPr>
          <w:szCs w:val="18"/>
        </w:rPr>
        <w:t>roject</w:t>
      </w:r>
    </w:p>
    <w:p w14:paraId="1A0F2515" w14:textId="797E10BF" w:rsidR="00C03E56" w:rsidRPr="00B85FE8" w:rsidRDefault="007448F8" w:rsidP="00C03E56">
      <w:pPr>
        <w:pStyle w:val="Heading1"/>
      </w:pPr>
      <w:r w:rsidRPr="002316E7">
        <w:rPr>
          <w:szCs w:val="18"/>
        </w:rPr>
        <w:t xml:space="preserve"> including consumer, community, and pharmacist education</w:t>
      </w:r>
    </w:p>
    <w:p w14:paraId="520E4875" w14:textId="4808328D" w:rsidR="00C03E56" w:rsidRPr="00B85FE8" w:rsidRDefault="00C03E56" w:rsidP="00AC0B14">
      <w:pPr>
        <w:pStyle w:val="Heading1"/>
      </w:pPr>
      <w:r w:rsidRPr="00B85FE8">
        <w:t xml:space="preserve">Opening Date:  </w:t>
      </w:r>
      <w:r w:rsidR="00180F0F">
        <w:t>April 19, 2018, 2:00 P.M. Central Time</w:t>
      </w:r>
      <w:r w:rsidRPr="00B85FE8">
        <w:br/>
      </w:r>
    </w:p>
    <w:p w14:paraId="08FE8254" w14:textId="77777777" w:rsidR="00C03E56" w:rsidRPr="00B85FE8" w:rsidRDefault="00C03E56" w:rsidP="00C03E56"/>
    <w:p w14:paraId="26DA917B"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2A0BE1AB" w14:textId="4F106E7B"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446B32FC" w14:textId="77777777" w:rsidR="00983265" w:rsidRPr="00B85FE8" w:rsidRDefault="00983265" w:rsidP="00C03E56">
      <w:bookmarkStart w:id="1" w:name="_GoBack"/>
      <w:bookmarkEnd w:id="1"/>
    </w:p>
    <w:p w14:paraId="78ACBA28" w14:textId="77777777" w:rsidR="009B7698" w:rsidRDefault="009B7698" w:rsidP="009B7698">
      <w:pPr>
        <w:pStyle w:val="Level3"/>
      </w:pPr>
      <w:r w:rsidRPr="00D61658">
        <w:t>Original Request for Proposal for Contractual Services form signed using an indelible method</w:t>
      </w:r>
      <w:r>
        <w:t>;</w:t>
      </w:r>
      <w:r w:rsidRPr="00D61658">
        <w:t xml:space="preserve"> </w:t>
      </w:r>
    </w:p>
    <w:p w14:paraId="156E8798" w14:textId="77777777" w:rsidR="009B7698" w:rsidRPr="00D61658" w:rsidRDefault="009B7698" w:rsidP="009B7698">
      <w:pPr>
        <w:pStyle w:val="Level3"/>
      </w:pPr>
      <w:r w:rsidRPr="00D61658">
        <w:t>Clarity and responsiveness of the proposal;</w:t>
      </w:r>
    </w:p>
    <w:p w14:paraId="4C549DD2" w14:textId="77777777" w:rsidR="009B7698" w:rsidRDefault="009B7698" w:rsidP="009B7698">
      <w:pPr>
        <w:pStyle w:val="Level3"/>
      </w:pPr>
      <w:r>
        <w:t xml:space="preserve">Completed </w:t>
      </w:r>
      <w:r w:rsidRPr="003763B4">
        <w:t>Corporate Overview;</w:t>
      </w:r>
      <w:r>
        <w:t xml:space="preserve"> </w:t>
      </w:r>
    </w:p>
    <w:p w14:paraId="653765B1" w14:textId="05DA34C4" w:rsidR="009B7698" w:rsidRDefault="009B7698" w:rsidP="009B7698">
      <w:pPr>
        <w:pStyle w:val="Level3"/>
      </w:pPr>
      <w:r>
        <w:t xml:space="preserve">Completed Sections II through VI; </w:t>
      </w:r>
    </w:p>
    <w:p w14:paraId="1945206E" w14:textId="1F26FD0D" w:rsidR="009B7698" w:rsidRPr="009E71EB" w:rsidRDefault="009B7698" w:rsidP="009B7698">
      <w:pPr>
        <w:pStyle w:val="Level3"/>
      </w:pPr>
      <w:r>
        <w:t xml:space="preserve">Completed </w:t>
      </w:r>
      <w:r w:rsidRPr="009E71EB">
        <w:t xml:space="preserve">Technical Approach; and </w:t>
      </w:r>
    </w:p>
    <w:p w14:paraId="0BF9C95F" w14:textId="4E6544DC" w:rsidR="009B7698" w:rsidRPr="003763B4" w:rsidRDefault="009B7698" w:rsidP="009B7698">
      <w:pPr>
        <w:pStyle w:val="Level3"/>
      </w:pPr>
      <w:r>
        <w:t>Completed State Budget</w:t>
      </w:r>
      <w:r w:rsidRPr="003763B4">
        <w:t xml:space="preserve"> Proposal</w:t>
      </w:r>
      <w:r>
        <w:t xml:space="preserve"> Template</w:t>
      </w:r>
      <w:r w:rsidR="001E2F7D">
        <w:t xml:space="preserve"> (Form B)</w:t>
      </w:r>
      <w:r w:rsidRPr="003763B4">
        <w:t>.</w:t>
      </w:r>
    </w:p>
    <w:p w14:paraId="6B21BA4F" w14:textId="77777777" w:rsidR="00C03E56" w:rsidRPr="00B85FE8" w:rsidRDefault="00C03E56" w:rsidP="00C03E56"/>
    <w:p w14:paraId="07F567DB"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6C9DF979"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3788AA6"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79A2E589" w14:textId="77777777" w:rsidTr="001D3994">
        <w:trPr>
          <w:cantSplit/>
          <w:trHeight w:val="20"/>
          <w:jc w:val="center"/>
        </w:trPr>
        <w:tc>
          <w:tcPr>
            <w:tcW w:w="5422" w:type="dxa"/>
            <w:vAlign w:val="center"/>
          </w:tcPr>
          <w:p w14:paraId="426BC72A"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BC46D5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72EC187" w14:textId="77777777" w:rsidTr="001D3994">
        <w:trPr>
          <w:cantSplit/>
          <w:trHeight w:val="20"/>
          <w:jc w:val="center"/>
        </w:trPr>
        <w:tc>
          <w:tcPr>
            <w:tcW w:w="5422" w:type="dxa"/>
            <w:vAlign w:val="center"/>
          </w:tcPr>
          <w:p w14:paraId="794CB78C"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F2A5C97" w14:textId="43E2B231" w:rsidR="00C03E56" w:rsidRPr="001E2F7D" w:rsidRDefault="00340097" w:rsidP="00C03E56">
            <w:pPr>
              <w:jc w:val="center"/>
            </w:pPr>
            <w:r>
              <w:t>250</w:t>
            </w:r>
          </w:p>
        </w:tc>
      </w:tr>
      <w:tr w:rsidR="00AF2331" w:rsidRPr="00B85FE8" w14:paraId="172D6882" w14:textId="77777777" w:rsidTr="001D3994">
        <w:trPr>
          <w:cantSplit/>
          <w:trHeight w:val="20"/>
          <w:jc w:val="center"/>
        </w:trPr>
        <w:tc>
          <w:tcPr>
            <w:tcW w:w="5422" w:type="dxa"/>
            <w:vAlign w:val="center"/>
          </w:tcPr>
          <w:p w14:paraId="07C34C7C"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A59EEDC" w14:textId="71783A17" w:rsidR="00AF2331" w:rsidRPr="001E2F7D" w:rsidRDefault="00340097" w:rsidP="00C03E56">
            <w:pPr>
              <w:jc w:val="center"/>
            </w:pPr>
            <w:r>
              <w:t>450</w:t>
            </w:r>
          </w:p>
        </w:tc>
      </w:tr>
      <w:tr w:rsidR="00AF2331" w:rsidRPr="00B85FE8" w14:paraId="151DE305" w14:textId="77777777" w:rsidTr="0014394B">
        <w:trPr>
          <w:cantSplit/>
          <w:trHeight w:val="20"/>
          <w:jc w:val="center"/>
        </w:trPr>
        <w:tc>
          <w:tcPr>
            <w:tcW w:w="5422" w:type="dxa"/>
            <w:tcBorders>
              <w:bottom w:val="single" w:sz="6" w:space="0" w:color="auto"/>
              <w:right w:val="single" w:sz="4" w:space="0" w:color="auto"/>
            </w:tcBorders>
            <w:vAlign w:val="center"/>
          </w:tcPr>
          <w:p w14:paraId="440EFCFF"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E0C9E34" w14:textId="2F2F2E36" w:rsidR="00AF2331" w:rsidRPr="001E2F7D" w:rsidRDefault="000C078E" w:rsidP="00C03E56">
            <w:pPr>
              <w:jc w:val="center"/>
            </w:pPr>
            <w:r w:rsidRPr="001E2F7D">
              <w:t>7</w:t>
            </w:r>
            <w:r w:rsidR="00C64977" w:rsidRPr="001E2F7D">
              <w:t>00</w:t>
            </w:r>
          </w:p>
        </w:tc>
      </w:tr>
      <w:tr w:rsidR="00AF2331" w:rsidRPr="00B85FE8" w14:paraId="00487DCA" w14:textId="77777777" w:rsidTr="001D3994">
        <w:trPr>
          <w:cantSplit/>
          <w:trHeight w:val="20"/>
          <w:jc w:val="center"/>
        </w:trPr>
        <w:tc>
          <w:tcPr>
            <w:tcW w:w="5422" w:type="dxa"/>
            <w:tcBorders>
              <w:bottom w:val="single" w:sz="6" w:space="0" w:color="auto"/>
              <w:right w:val="single" w:sz="4" w:space="0" w:color="auto"/>
            </w:tcBorders>
            <w:vAlign w:val="center"/>
          </w:tcPr>
          <w:p w14:paraId="369AFE2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7314CEA5" w14:textId="7E0BF8A0" w:rsidR="00AF2331" w:rsidRPr="001E2F7D" w:rsidRDefault="00340097" w:rsidP="00C03E56">
            <w:pPr>
              <w:jc w:val="center"/>
            </w:pPr>
            <w:r>
              <w:t>7</w:t>
            </w:r>
            <w:r w:rsidR="00115404" w:rsidRPr="001E2F7D">
              <w:t>5</w:t>
            </w:r>
          </w:p>
        </w:tc>
      </w:tr>
      <w:tr w:rsidR="00AF2331" w:rsidRPr="00B85FE8" w14:paraId="473814D0" w14:textId="77777777" w:rsidTr="001D3994">
        <w:trPr>
          <w:cantSplit/>
          <w:trHeight w:val="20"/>
          <w:jc w:val="center"/>
        </w:trPr>
        <w:tc>
          <w:tcPr>
            <w:tcW w:w="5422" w:type="dxa"/>
            <w:tcBorders>
              <w:bottom w:val="single" w:sz="6" w:space="0" w:color="auto"/>
              <w:right w:val="single" w:sz="4" w:space="0" w:color="auto"/>
            </w:tcBorders>
            <w:vAlign w:val="center"/>
          </w:tcPr>
          <w:p w14:paraId="780E6CF2"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5C767374" w14:textId="49F11489" w:rsidR="00AF2331" w:rsidRPr="001E2F7D" w:rsidRDefault="00115404" w:rsidP="00340097">
            <w:pPr>
              <w:jc w:val="center"/>
            </w:pPr>
            <w:r w:rsidRPr="001E2F7D">
              <w:t>7</w:t>
            </w:r>
            <w:r w:rsidR="00340097">
              <w:t>7</w:t>
            </w:r>
            <w:r w:rsidR="00EF1CB5" w:rsidRPr="001E2F7D">
              <w:t>5</w:t>
            </w:r>
          </w:p>
        </w:tc>
      </w:tr>
    </w:tbl>
    <w:p w14:paraId="5CA9F46F" w14:textId="0242BB75" w:rsidR="00C03E56" w:rsidRPr="00B85FE8" w:rsidRDefault="00C03E56" w:rsidP="00C03E56">
      <w:r w:rsidRPr="00B85FE8">
        <w:tab/>
      </w:r>
      <w:r w:rsidRPr="00B85FE8">
        <w:tab/>
      </w:r>
      <w:r w:rsidRPr="00B85FE8">
        <w:tab/>
      </w:r>
      <w:r w:rsidRPr="00B85FE8">
        <w:tab/>
      </w:r>
    </w:p>
    <w:p w14:paraId="7F133F1B" w14:textId="77777777"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E613" w14:textId="77777777" w:rsidR="00D75EA9" w:rsidRDefault="00D75EA9">
      <w:r>
        <w:separator/>
      </w:r>
    </w:p>
  </w:endnote>
  <w:endnote w:type="continuationSeparator" w:id="0">
    <w:p w14:paraId="2CEC9E5B" w14:textId="77777777" w:rsidR="00D75EA9" w:rsidRDefault="00D7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0CCA" w14:textId="77777777" w:rsidR="00D75EA9" w:rsidRDefault="00D75EA9">
      <w:r>
        <w:separator/>
      </w:r>
    </w:p>
  </w:footnote>
  <w:footnote w:type="continuationSeparator" w:id="0">
    <w:p w14:paraId="11B8BA92" w14:textId="77777777" w:rsidR="00D75EA9" w:rsidRDefault="00D75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9FDEAA6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i w:val="0"/>
        <w:sz w:val="18"/>
        <w:szCs w:val="18"/>
      </w:rPr>
    </w:lvl>
    <w:lvl w:ilvl="5">
      <w:start w:val="1"/>
      <w:numFmt w:val="lowerLetter"/>
      <w:lvlText w:val="%6)"/>
      <w:lvlJc w:val="left"/>
      <w:pPr>
        <w:tabs>
          <w:tab w:val="num" w:pos="720"/>
        </w:tabs>
        <w:ind w:left="3600" w:hanging="720"/>
      </w:pPr>
      <w:rPr>
        <w:rFonts w:ascii="Arial" w:hAnsi="Arial" w:cs="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078E"/>
    <w:rsid w:val="000C18F1"/>
    <w:rsid w:val="000C4E31"/>
    <w:rsid w:val="000D1FC7"/>
    <w:rsid w:val="000D5E2B"/>
    <w:rsid w:val="000E49B6"/>
    <w:rsid w:val="000E5FC7"/>
    <w:rsid w:val="000F0D47"/>
    <w:rsid w:val="000F51CA"/>
    <w:rsid w:val="001028B0"/>
    <w:rsid w:val="00104CEA"/>
    <w:rsid w:val="00115404"/>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4600"/>
    <w:rsid w:val="00166C54"/>
    <w:rsid w:val="00167733"/>
    <w:rsid w:val="00180F0F"/>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2F7D"/>
    <w:rsid w:val="001E478A"/>
    <w:rsid w:val="001F67B9"/>
    <w:rsid w:val="001F6A9A"/>
    <w:rsid w:val="002031B9"/>
    <w:rsid w:val="0023326E"/>
    <w:rsid w:val="00247046"/>
    <w:rsid w:val="00266375"/>
    <w:rsid w:val="002665C6"/>
    <w:rsid w:val="002671E7"/>
    <w:rsid w:val="00270E1F"/>
    <w:rsid w:val="00272D48"/>
    <w:rsid w:val="0027641E"/>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097"/>
    <w:rsid w:val="00340967"/>
    <w:rsid w:val="00342D85"/>
    <w:rsid w:val="00343C84"/>
    <w:rsid w:val="00344B67"/>
    <w:rsid w:val="00351273"/>
    <w:rsid w:val="00354943"/>
    <w:rsid w:val="00356E23"/>
    <w:rsid w:val="00364561"/>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474E0"/>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2F44"/>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48F8"/>
    <w:rsid w:val="00747B32"/>
    <w:rsid w:val="00750D8C"/>
    <w:rsid w:val="0075295A"/>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3255"/>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6E63"/>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CA1"/>
    <w:rsid w:val="00922EE3"/>
    <w:rsid w:val="009241D9"/>
    <w:rsid w:val="00926C6E"/>
    <w:rsid w:val="00930ACE"/>
    <w:rsid w:val="00936111"/>
    <w:rsid w:val="0094270D"/>
    <w:rsid w:val="009457AD"/>
    <w:rsid w:val="00950C1C"/>
    <w:rsid w:val="00952D8B"/>
    <w:rsid w:val="0095498D"/>
    <w:rsid w:val="00957E46"/>
    <w:rsid w:val="00966ACC"/>
    <w:rsid w:val="0097797B"/>
    <w:rsid w:val="00982EB0"/>
    <w:rsid w:val="00983265"/>
    <w:rsid w:val="0099599E"/>
    <w:rsid w:val="009A4B9D"/>
    <w:rsid w:val="009B1BB8"/>
    <w:rsid w:val="009B259C"/>
    <w:rsid w:val="009B2FCB"/>
    <w:rsid w:val="009B54F2"/>
    <w:rsid w:val="009B6F86"/>
    <w:rsid w:val="009B7698"/>
    <w:rsid w:val="009C743E"/>
    <w:rsid w:val="009D3329"/>
    <w:rsid w:val="009D5EB1"/>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281E"/>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4977"/>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51F9E"/>
    <w:rsid w:val="00D75EA9"/>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1CB5"/>
    <w:rsid w:val="00EF23A2"/>
    <w:rsid w:val="00F11E58"/>
    <w:rsid w:val="00F14621"/>
    <w:rsid w:val="00F1586A"/>
    <w:rsid w:val="00F2011B"/>
    <w:rsid w:val="00F21A2A"/>
    <w:rsid w:val="00F21EC8"/>
    <w:rsid w:val="00F26373"/>
    <w:rsid w:val="00F26F48"/>
    <w:rsid w:val="00F274CA"/>
    <w:rsid w:val="00F318CD"/>
    <w:rsid w:val="00F3636C"/>
    <w:rsid w:val="00F4399E"/>
    <w:rsid w:val="00F471FF"/>
    <w:rsid w:val="00F56AFB"/>
    <w:rsid w:val="00F57359"/>
    <w:rsid w:val="00F61594"/>
    <w:rsid w:val="00F718B9"/>
    <w:rsid w:val="00F81A68"/>
    <w:rsid w:val="00F82D38"/>
    <w:rsid w:val="00F83F1C"/>
    <w:rsid w:val="00FA15A9"/>
    <w:rsid w:val="00FA4A63"/>
    <w:rsid w:val="00FD648C"/>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C473A1"/>
  <w15:docId w15:val="{FEDC31A6-7BE0-4506-87B7-83259E76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Fleming, Teresa</cp:lastModifiedBy>
  <cp:revision>6</cp:revision>
  <cp:lastPrinted>2018-03-20T18:04:00Z</cp:lastPrinted>
  <dcterms:created xsi:type="dcterms:W3CDTF">2018-03-16T21:28:00Z</dcterms:created>
  <dcterms:modified xsi:type="dcterms:W3CDTF">2018-03-20T18:06:00Z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4653842</vt:i4>
  </property>
  <property fmtid="{D5CDD505-2E9C-101B-9397-08002B2CF9AE}" pid="4" name="_EmailSubject">
    <vt:lpwstr>Document Approved:  94243 - O5</vt:lpwstr>
  </property>
  <property fmtid="{D5CDD505-2E9C-101B-9397-08002B2CF9AE}" pid="5" name="_AuthorEmail">
    <vt:lpwstr>Peg.OgeaGinsburg@nebraska.gov</vt:lpwstr>
  </property>
  <property fmtid="{D5CDD505-2E9C-101B-9397-08002B2CF9AE}" pid="6" name="_AuthorEmailDisplayName">
    <vt:lpwstr>Ogea-Ginsburg, Peg</vt:lpwstr>
  </property>
  <property fmtid="{D5CDD505-2E9C-101B-9397-08002B2CF9AE}" pid="7" name="_ReviewingToolsShownOnce">
    <vt:lpwstr/>
  </property>
</Properties>
</file>